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77" w:rsidRDefault="00355D33" w:rsidP="00A42C13">
      <w:pPr>
        <w:tabs>
          <w:tab w:val="left" w:pos="8100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6.7pt;height:52.6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ANNOUNCING"/>
          </v:shape>
        </w:pict>
      </w:r>
    </w:p>
    <w:p w:rsidR="008E4277" w:rsidRDefault="00355D33" w:rsidP="00A42C13">
      <w:pPr>
        <w:tabs>
          <w:tab w:val="left" w:pos="8100"/>
        </w:tabs>
        <w:jc w:val="center"/>
      </w:pPr>
      <w:r>
        <w:pict>
          <v:shape id="_x0000_i1026" type="#_x0000_t136" style="width:467.65pt;height:25.8pt" fillcolor="#b2b2b2" strokecolor="#33c" strokeweight="1pt">
            <v:fill opacity=".5"/>
            <v:shadow on="t" color="#99f" offset="3pt"/>
            <v:textpath style="font-family:&quot;Arial Black&quot;;v-text-kern:t" trim="t" fitpath="t" string="CNCTS' Technical Support Program (TSP)"/>
          </v:shape>
        </w:pict>
      </w:r>
    </w:p>
    <w:p w:rsidR="00C80C0D" w:rsidRPr="00F44539" w:rsidRDefault="00C80C0D" w:rsidP="00A42C13">
      <w:pPr>
        <w:tabs>
          <w:tab w:val="left" w:pos="8100"/>
        </w:tabs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1350"/>
        <w:gridCol w:w="1266"/>
        <w:gridCol w:w="1254"/>
      </w:tblGrid>
      <w:tr w:rsidR="00F44539" w:rsidRPr="00F44539" w:rsidTr="00AE22F2">
        <w:tc>
          <w:tcPr>
            <w:tcW w:w="5688" w:type="dxa"/>
          </w:tcPr>
          <w:p w:rsidR="00F44539" w:rsidRPr="00F44539" w:rsidRDefault="00F44539" w:rsidP="00A42C13">
            <w:pPr>
              <w:jc w:val="center"/>
            </w:pPr>
          </w:p>
        </w:tc>
        <w:tc>
          <w:tcPr>
            <w:tcW w:w="3870" w:type="dxa"/>
            <w:gridSpan w:val="3"/>
          </w:tcPr>
          <w:p w:rsidR="00F44539" w:rsidRPr="00F44539" w:rsidRDefault="00F44539" w:rsidP="00A42C13">
            <w:pPr>
              <w:jc w:val="center"/>
            </w:pPr>
            <w:r w:rsidRPr="00F44539">
              <w:t>CUSTOMER CLASSIFICATION</w:t>
            </w:r>
          </w:p>
        </w:tc>
      </w:tr>
      <w:tr w:rsidR="00A42C13" w:rsidRPr="00C80C0D" w:rsidTr="004D1187">
        <w:tc>
          <w:tcPr>
            <w:tcW w:w="5688" w:type="dxa"/>
          </w:tcPr>
          <w:p w:rsidR="00A42C13" w:rsidRPr="00C80C0D" w:rsidRDefault="00A42C13" w:rsidP="00A42C13">
            <w:pPr>
              <w:jc w:val="center"/>
              <w:rPr>
                <w:u w:val="single"/>
              </w:rPr>
            </w:pPr>
            <w:r w:rsidRPr="00C80C0D">
              <w:rPr>
                <w:u w:val="single"/>
              </w:rPr>
              <w:t>BENEFIT</w:t>
            </w:r>
          </w:p>
        </w:tc>
        <w:tc>
          <w:tcPr>
            <w:tcW w:w="1350" w:type="dxa"/>
            <w:shd w:val="clear" w:color="FFFF00" w:fill="auto"/>
          </w:tcPr>
          <w:p w:rsidR="00A42C13" w:rsidRPr="00C80C0D" w:rsidRDefault="00F44539" w:rsidP="00A42C13">
            <w:pPr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PM</w:t>
            </w:r>
          </w:p>
        </w:tc>
        <w:tc>
          <w:tcPr>
            <w:tcW w:w="1266" w:type="dxa"/>
            <w:shd w:val="pct25" w:color="FFFF00" w:fill="auto"/>
          </w:tcPr>
          <w:p w:rsidR="00A42C13" w:rsidRPr="00C80C0D" w:rsidRDefault="00F44539" w:rsidP="00A42C13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TSP</w:t>
            </w:r>
          </w:p>
        </w:tc>
        <w:tc>
          <w:tcPr>
            <w:tcW w:w="1254" w:type="dxa"/>
          </w:tcPr>
          <w:p w:rsidR="00A42C13" w:rsidRPr="00C80C0D" w:rsidRDefault="009270AF" w:rsidP="00A42C13">
            <w:pPr>
              <w:jc w:val="center"/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>STANDARD</w:t>
            </w:r>
          </w:p>
        </w:tc>
      </w:tr>
      <w:tr w:rsidR="008E4277" w:rsidTr="004D1187">
        <w:trPr>
          <w:trHeight w:val="764"/>
        </w:trPr>
        <w:tc>
          <w:tcPr>
            <w:tcW w:w="5688" w:type="dxa"/>
            <w:vAlign w:val="center"/>
          </w:tcPr>
          <w:p w:rsidR="00A42C13" w:rsidRPr="00E51A29" w:rsidRDefault="00C9763B" w:rsidP="004B27CE">
            <w:pPr>
              <w:rPr>
                <w:b/>
                <w:sz w:val="20"/>
                <w:szCs w:val="20"/>
                <w:u w:val="single"/>
              </w:rPr>
            </w:pPr>
            <w:r w:rsidRPr="00C9763B">
              <w:rPr>
                <w:b/>
                <w:sz w:val="20"/>
                <w:szCs w:val="20"/>
              </w:rPr>
              <w:t>Preventative Maintenance.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80C0D">
              <w:rPr>
                <w:sz w:val="20"/>
                <w:szCs w:val="20"/>
              </w:rPr>
              <w:t>Requested m</w:t>
            </w:r>
            <w:r w:rsidR="00A42C13" w:rsidRPr="00E51A29">
              <w:rPr>
                <w:sz w:val="20"/>
                <w:szCs w:val="20"/>
              </w:rPr>
              <w:t xml:space="preserve">achines are </w:t>
            </w:r>
            <w:proofErr w:type="spellStart"/>
            <w:r w:rsidR="00A42C13" w:rsidRPr="00E51A29">
              <w:rPr>
                <w:sz w:val="20"/>
                <w:szCs w:val="20"/>
              </w:rPr>
              <w:t>PM’d</w:t>
            </w:r>
            <w:proofErr w:type="spellEnd"/>
            <w:r w:rsidR="00A42C13" w:rsidRPr="00E51A29">
              <w:rPr>
                <w:sz w:val="20"/>
                <w:szCs w:val="20"/>
              </w:rPr>
              <w:t xml:space="preserve"> annually, with full documentation noting </w:t>
            </w:r>
            <w:r w:rsidR="00C80C0D">
              <w:rPr>
                <w:sz w:val="20"/>
                <w:szCs w:val="20"/>
              </w:rPr>
              <w:t xml:space="preserve">any </w:t>
            </w:r>
            <w:r w:rsidR="00A42C13" w:rsidRPr="00E51A29">
              <w:rPr>
                <w:sz w:val="20"/>
                <w:szCs w:val="20"/>
              </w:rPr>
              <w:t>issues found</w:t>
            </w:r>
            <w:r w:rsidR="00C80C0D">
              <w:rPr>
                <w:sz w:val="20"/>
                <w:szCs w:val="20"/>
              </w:rPr>
              <w:t xml:space="preserve"> </w:t>
            </w:r>
            <w:r w:rsidR="008E4277">
              <w:rPr>
                <w:sz w:val="20"/>
                <w:szCs w:val="20"/>
              </w:rPr>
              <w:t>and follow up recommendations.</w:t>
            </w:r>
          </w:p>
        </w:tc>
        <w:tc>
          <w:tcPr>
            <w:tcW w:w="1350" w:type="dxa"/>
            <w:shd w:val="clear" w:color="FFFF00" w:fill="auto"/>
            <w:vAlign w:val="center"/>
          </w:tcPr>
          <w:p w:rsidR="00A42C13" w:rsidRPr="008E4277" w:rsidRDefault="00E57FB6" w:rsidP="00E57FB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E4277">
              <w:rPr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266" w:type="dxa"/>
            <w:shd w:val="pct25" w:color="FFFF00" w:fill="auto"/>
            <w:vAlign w:val="center"/>
          </w:tcPr>
          <w:p w:rsidR="00A42C13" w:rsidRPr="008E4277" w:rsidRDefault="007847A9" w:rsidP="00E57FB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  <w:tc>
          <w:tcPr>
            <w:tcW w:w="1254" w:type="dxa"/>
            <w:vAlign w:val="center"/>
          </w:tcPr>
          <w:p w:rsidR="00A42C13" w:rsidRPr="00C80C0D" w:rsidRDefault="007847A9" w:rsidP="00E57FB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 w:rsidR="008E4277" w:rsidTr="004D1187">
        <w:trPr>
          <w:trHeight w:val="710"/>
        </w:trPr>
        <w:tc>
          <w:tcPr>
            <w:tcW w:w="5688" w:type="dxa"/>
            <w:vAlign w:val="center"/>
          </w:tcPr>
          <w:p w:rsidR="00A42C13" w:rsidRPr="00E51A29" w:rsidRDefault="00A42C13" w:rsidP="00C9763B">
            <w:pPr>
              <w:rPr>
                <w:b/>
                <w:sz w:val="20"/>
                <w:szCs w:val="20"/>
                <w:u w:val="single"/>
              </w:rPr>
            </w:pPr>
            <w:r w:rsidRPr="00C9763B">
              <w:rPr>
                <w:b/>
                <w:sz w:val="20"/>
                <w:szCs w:val="20"/>
              </w:rPr>
              <w:t>Service terms</w:t>
            </w:r>
            <w:r w:rsidR="00C9763B">
              <w:rPr>
                <w:sz w:val="20"/>
                <w:szCs w:val="20"/>
              </w:rPr>
              <w:t>. Payment terns</w:t>
            </w:r>
            <w:r w:rsidRPr="00E51A29">
              <w:rPr>
                <w:sz w:val="20"/>
                <w:szCs w:val="20"/>
              </w:rPr>
              <w:t xml:space="preserve"> of 10% 10NET30 on any service work performed by CNC Technical Services personnel throughout the year.</w:t>
            </w:r>
          </w:p>
        </w:tc>
        <w:tc>
          <w:tcPr>
            <w:tcW w:w="1350" w:type="dxa"/>
            <w:shd w:val="clear" w:color="FFFF00" w:fill="auto"/>
            <w:vAlign w:val="center"/>
          </w:tcPr>
          <w:p w:rsidR="00A42C13" w:rsidRPr="008E4277" w:rsidRDefault="00E57FB6" w:rsidP="00E57F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E4277">
              <w:rPr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266" w:type="dxa"/>
            <w:shd w:val="pct25" w:color="FFFF00" w:fill="auto"/>
            <w:vAlign w:val="center"/>
          </w:tcPr>
          <w:p w:rsidR="00A42C13" w:rsidRPr="008E4277" w:rsidRDefault="007847A9" w:rsidP="00E57FB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-</w:t>
            </w:r>
          </w:p>
        </w:tc>
        <w:tc>
          <w:tcPr>
            <w:tcW w:w="1254" w:type="dxa"/>
            <w:vAlign w:val="center"/>
          </w:tcPr>
          <w:p w:rsidR="00A42C13" w:rsidRPr="00C80C0D" w:rsidRDefault="007847A9" w:rsidP="00E57FB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 w:rsidR="008E4277" w:rsidTr="004D1187">
        <w:trPr>
          <w:trHeight w:val="890"/>
        </w:trPr>
        <w:tc>
          <w:tcPr>
            <w:tcW w:w="5688" w:type="dxa"/>
            <w:vAlign w:val="center"/>
          </w:tcPr>
          <w:p w:rsidR="00A42C13" w:rsidRPr="00E51A29" w:rsidRDefault="00A42C13" w:rsidP="002F3585">
            <w:pPr>
              <w:rPr>
                <w:b/>
                <w:sz w:val="20"/>
                <w:szCs w:val="20"/>
                <w:u w:val="single"/>
              </w:rPr>
            </w:pPr>
            <w:r w:rsidRPr="00C9763B">
              <w:rPr>
                <w:b/>
                <w:sz w:val="20"/>
                <w:szCs w:val="20"/>
              </w:rPr>
              <w:t>Full email and phone support</w:t>
            </w:r>
            <w:r w:rsidR="00C9763B">
              <w:rPr>
                <w:b/>
                <w:sz w:val="20"/>
                <w:szCs w:val="20"/>
              </w:rPr>
              <w:t>.</w:t>
            </w:r>
            <w:r w:rsidRPr="00E51A29">
              <w:rPr>
                <w:sz w:val="20"/>
                <w:szCs w:val="20"/>
              </w:rPr>
              <w:t xml:space="preserve"> </w:t>
            </w:r>
            <w:r w:rsidR="00C9763B">
              <w:rPr>
                <w:sz w:val="20"/>
                <w:szCs w:val="20"/>
              </w:rPr>
              <w:t>C</w:t>
            </w:r>
            <w:r w:rsidRPr="00E51A29">
              <w:rPr>
                <w:sz w:val="20"/>
                <w:szCs w:val="20"/>
              </w:rPr>
              <w:t xml:space="preserve">ustomers will </w:t>
            </w:r>
            <w:r w:rsidR="002F3585">
              <w:rPr>
                <w:sz w:val="20"/>
                <w:szCs w:val="20"/>
              </w:rPr>
              <w:t xml:space="preserve">still be able to call in their service requests, but will also </w:t>
            </w:r>
            <w:r w:rsidRPr="00E51A29">
              <w:rPr>
                <w:sz w:val="20"/>
                <w:szCs w:val="20"/>
              </w:rPr>
              <w:t xml:space="preserve">have access to a new service email address they can use to </w:t>
            </w:r>
            <w:r w:rsidR="00084A88">
              <w:rPr>
                <w:sz w:val="20"/>
                <w:szCs w:val="20"/>
              </w:rPr>
              <w:t>send technical questions and receive priority response.</w:t>
            </w:r>
          </w:p>
        </w:tc>
        <w:tc>
          <w:tcPr>
            <w:tcW w:w="1350" w:type="dxa"/>
            <w:shd w:val="clear" w:color="FFFF00" w:fill="auto"/>
            <w:vAlign w:val="center"/>
          </w:tcPr>
          <w:p w:rsidR="00A42C13" w:rsidRPr="008E4277" w:rsidRDefault="00E57FB6" w:rsidP="00E57F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E4277">
              <w:rPr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266" w:type="dxa"/>
            <w:shd w:val="pct25" w:color="FFFF00" w:fill="auto"/>
            <w:vAlign w:val="center"/>
          </w:tcPr>
          <w:p w:rsidR="00A42C13" w:rsidRPr="008E4277" w:rsidRDefault="00E57FB6" w:rsidP="00E57FB6">
            <w:pPr>
              <w:jc w:val="center"/>
              <w:rPr>
                <w:b/>
                <w:color w:val="0070C0"/>
              </w:rPr>
            </w:pPr>
            <w:r w:rsidRPr="008E4277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254" w:type="dxa"/>
            <w:vAlign w:val="center"/>
          </w:tcPr>
          <w:p w:rsidR="00A42C13" w:rsidRPr="00C80C0D" w:rsidRDefault="00E57FB6" w:rsidP="00E57FB6">
            <w:pPr>
              <w:jc w:val="center"/>
              <w:rPr>
                <w:b/>
                <w:color w:val="00B050"/>
              </w:rPr>
            </w:pPr>
            <w:r w:rsidRPr="00C80C0D">
              <w:rPr>
                <w:b/>
                <w:color w:val="00B050"/>
              </w:rPr>
              <w:t>See Note 3</w:t>
            </w:r>
          </w:p>
        </w:tc>
      </w:tr>
      <w:tr w:rsidR="008E4277" w:rsidTr="004D1187">
        <w:trPr>
          <w:trHeight w:val="1430"/>
        </w:trPr>
        <w:tc>
          <w:tcPr>
            <w:tcW w:w="5688" w:type="dxa"/>
            <w:vAlign w:val="center"/>
          </w:tcPr>
          <w:p w:rsidR="00A42C13" w:rsidRPr="00E51A29" w:rsidRDefault="00A42C13" w:rsidP="002F3585">
            <w:pPr>
              <w:rPr>
                <w:b/>
                <w:sz w:val="20"/>
                <w:szCs w:val="20"/>
                <w:u w:val="single"/>
              </w:rPr>
            </w:pPr>
            <w:r w:rsidRPr="00C9763B">
              <w:rPr>
                <w:b/>
                <w:sz w:val="20"/>
                <w:szCs w:val="20"/>
              </w:rPr>
              <w:t>Access to our website’s Technical Reference Library (TRL).</w:t>
            </w:r>
            <w:r w:rsidR="002F3585">
              <w:rPr>
                <w:sz w:val="20"/>
                <w:szCs w:val="20"/>
              </w:rPr>
              <w:t xml:space="preserve"> C</w:t>
            </w:r>
            <w:r w:rsidRPr="00E51A29">
              <w:rPr>
                <w:sz w:val="20"/>
                <w:szCs w:val="20"/>
              </w:rPr>
              <w:t xml:space="preserve">ustomers will find certain technical manuals and documentation, general troubleshooting techniques and other information that is available 24 hours a day, 7 days a week. </w:t>
            </w:r>
            <w:r w:rsidR="00084A88">
              <w:rPr>
                <w:sz w:val="20"/>
                <w:szCs w:val="20"/>
              </w:rPr>
              <w:t>Note: r</w:t>
            </w:r>
            <w:r w:rsidRPr="00E51A29">
              <w:rPr>
                <w:sz w:val="20"/>
                <w:szCs w:val="20"/>
              </w:rPr>
              <w:t>equires login username and password to access.</w:t>
            </w:r>
          </w:p>
        </w:tc>
        <w:tc>
          <w:tcPr>
            <w:tcW w:w="1350" w:type="dxa"/>
            <w:shd w:val="clear" w:color="FFFF00" w:fill="auto"/>
            <w:vAlign w:val="center"/>
          </w:tcPr>
          <w:p w:rsidR="00A42C13" w:rsidRPr="008E4277" w:rsidRDefault="00E57FB6" w:rsidP="00E57F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E4277">
              <w:rPr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266" w:type="dxa"/>
            <w:shd w:val="pct25" w:color="FFFF00" w:fill="auto"/>
            <w:vAlign w:val="center"/>
          </w:tcPr>
          <w:p w:rsidR="00A42C13" w:rsidRPr="008E4277" w:rsidRDefault="00E57FB6" w:rsidP="00E57FB6">
            <w:pPr>
              <w:jc w:val="center"/>
              <w:rPr>
                <w:b/>
                <w:color w:val="0070C0"/>
              </w:rPr>
            </w:pPr>
            <w:r w:rsidRPr="008E4277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254" w:type="dxa"/>
            <w:vAlign w:val="center"/>
          </w:tcPr>
          <w:p w:rsidR="00A42C13" w:rsidRPr="00C80C0D" w:rsidRDefault="007847A9" w:rsidP="00E57FB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 w:rsidR="008E4277" w:rsidTr="004D1187">
        <w:trPr>
          <w:trHeight w:val="1160"/>
        </w:trPr>
        <w:tc>
          <w:tcPr>
            <w:tcW w:w="5688" w:type="dxa"/>
            <w:vAlign w:val="center"/>
          </w:tcPr>
          <w:p w:rsidR="00A42C13" w:rsidRPr="00E51A29" w:rsidRDefault="00C9763B" w:rsidP="00C9763B">
            <w:pPr>
              <w:rPr>
                <w:b/>
                <w:sz w:val="20"/>
                <w:szCs w:val="20"/>
                <w:u w:val="single"/>
              </w:rPr>
            </w:pPr>
            <w:r w:rsidRPr="00C9763B">
              <w:rPr>
                <w:b/>
                <w:sz w:val="20"/>
                <w:szCs w:val="20"/>
              </w:rPr>
              <w:t>Enhanced Documentation.</w:t>
            </w:r>
            <w:r w:rsidR="00A42C13" w:rsidRPr="00E51A29">
              <w:rPr>
                <w:sz w:val="20"/>
                <w:szCs w:val="20"/>
              </w:rPr>
              <w:t xml:space="preserve"> We will share certain documentation to customers via email that we typically would not provide before. </w:t>
            </w:r>
            <w:r w:rsidR="00084A88">
              <w:rPr>
                <w:sz w:val="20"/>
                <w:szCs w:val="20"/>
              </w:rPr>
              <w:t>Also, a</w:t>
            </w:r>
            <w:r w:rsidR="00A42C13" w:rsidRPr="00E51A29">
              <w:rPr>
                <w:sz w:val="20"/>
                <w:szCs w:val="20"/>
              </w:rPr>
              <w:t xml:space="preserve">ny standard manuals we have electronically </w:t>
            </w:r>
            <w:r w:rsidR="00084A88">
              <w:rPr>
                <w:sz w:val="20"/>
                <w:szCs w:val="20"/>
              </w:rPr>
              <w:t>will be provided at no additional cost.</w:t>
            </w:r>
          </w:p>
        </w:tc>
        <w:tc>
          <w:tcPr>
            <w:tcW w:w="1350" w:type="dxa"/>
            <w:shd w:val="clear" w:color="FFFF00" w:fill="auto"/>
            <w:vAlign w:val="center"/>
          </w:tcPr>
          <w:p w:rsidR="00A42C13" w:rsidRPr="008E4277" w:rsidRDefault="00E57FB6" w:rsidP="00E57F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E4277">
              <w:rPr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266" w:type="dxa"/>
            <w:shd w:val="pct25" w:color="FFFF00" w:fill="auto"/>
            <w:vAlign w:val="center"/>
          </w:tcPr>
          <w:p w:rsidR="00A42C13" w:rsidRPr="008E4277" w:rsidRDefault="00E57FB6" w:rsidP="00E57FB6">
            <w:pPr>
              <w:jc w:val="center"/>
              <w:rPr>
                <w:b/>
                <w:color w:val="0070C0"/>
              </w:rPr>
            </w:pPr>
            <w:r w:rsidRPr="008E4277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254" w:type="dxa"/>
            <w:vAlign w:val="center"/>
          </w:tcPr>
          <w:p w:rsidR="00A42C13" w:rsidRPr="00C80C0D" w:rsidRDefault="00C52987" w:rsidP="00E57FB6">
            <w:pPr>
              <w:jc w:val="center"/>
              <w:rPr>
                <w:b/>
                <w:color w:val="00B050"/>
              </w:rPr>
            </w:pPr>
            <w:r w:rsidRPr="00C80C0D">
              <w:rPr>
                <w:b/>
                <w:color w:val="00B050"/>
              </w:rPr>
              <w:t>Limited</w:t>
            </w:r>
            <w:r w:rsidR="00084A88">
              <w:rPr>
                <w:b/>
                <w:color w:val="00B050"/>
              </w:rPr>
              <w:t>/ may require a charge</w:t>
            </w:r>
          </w:p>
        </w:tc>
      </w:tr>
      <w:tr w:rsidR="008E4277" w:rsidTr="004D1187">
        <w:trPr>
          <w:trHeight w:val="980"/>
        </w:trPr>
        <w:tc>
          <w:tcPr>
            <w:tcW w:w="5688" w:type="dxa"/>
            <w:vAlign w:val="center"/>
          </w:tcPr>
          <w:p w:rsidR="00A42C13" w:rsidRPr="00E51A29" w:rsidRDefault="00A42C13" w:rsidP="004B27CE">
            <w:pPr>
              <w:rPr>
                <w:b/>
                <w:sz w:val="20"/>
                <w:szCs w:val="20"/>
                <w:u w:val="single"/>
              </w:rPr>
            </w:pPr>
            <w:r w:rsidRPr="00C9763B">
              <w:rPr>
                <w:b/>
                <w:sz w:val="20"/>
                <w:szCs w:val="20"/>
              </w:rPr>
              <w:t>Preferred status.</w:t>
            </w:r>
            <w:r w:rsidRPr="00E51A29">
              <w:rPr>
                <w:sz w:val="20"/>
                <w:szCs w:val="20"/>
              </w:rPr>
              <w:t xml:space="preserve"> Whether it is </w:t>
            </w:r>
            <w:r w:rsidR="004B27CE">
              <w:rPr>
                <w:sz w:val="20"/>
                <w:szCs w:val="20"/>
              </w:rPr>
              <w:t>in</w:t>
            </w:r>
            <w:r w:rsidRPr="00E51A29">
              <w:rPr>
                <w:sz w:val="20"/>
                <w:szCs w:val="20"/>
              </w:rPr>
              <w:t xml:space="preserve"> response to an email request or the need for us to come out for a service call, customers will benefit from </w:t>
            </w:r>
            <w:r w:rsidR="003872FB">
              <w:rPr>
                <w:sz w:val="20"/>
                <w:szCs w:val="20"/>
              </w:rPr>
              <w:t>priority</w:t>
            </w:r>
            <w:r w:rsidRPr="00E51A29">
              <w:rPr>
                <w:sz w:val="20"/>
                <w:szCs w:val="20"/>
              </w:rPr>
              <w:t xml:space="preserve"> response</w:t>
            </w:r>
            <w:r w:rsidR="00E51A29" w:rsidRPr="00E51A29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FFFF00" w:fill="auto"/>
            <w:vAlign w:val="center"/>
          </w:tcPr>
          <w:p w:rsidR="00A42C13" w:rsidRPr="008E4277" w:rsidRDefault="00E57FB6" w:rsidP="00E57F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E4277">
              <w:rPr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1266" w:type="dxa"/>
            <w:shd w:val="pct25" w:color="FFFF00" w:fill="auto"/>
            <w:vAlign w:val="center"/>
          </w:tcPr>
          <w:p w:rsidR="00A42C13" w:rsidRPr="008E4277" w:rsidRDefault="00E57FB6" w:rsidP="00E57FB6">
            <w:pPr>
              <w:jc w:val="center"/>
              <w:rPr>
                <w:b/>
                <w:color w:val="0070C0"/>
              </w:rPr>
            </w:pPr>
            <w:r w:rsidRPr="008E4277">
              <w:rPr>
                <w:b/>
                <w:color w:val="0070C0"/>
                <w:sz w:val="40"/>
                <w:szCs w:val="40"/>
              </w:rPr>
              <w:t>x</w:t>
            </w:r>
          </w:p>
        </w:tc>
        <w:tc>
          <w:tcPr>
            <w:tcW w:w="1254" w:type="dxa"/>
            <w:vAlign w:val="center"/>
          </w:tcPr>
          <w:p w:rsidR="00A42C13" w:rsidRPr="00C80C0D" w:rsidRDefault="007847A9" w:rsidP="00E57FB6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-</w:t>
            </w:r>
          </w:p>
        </w:tc>
      </w:tr>
      <w:tr w:rsidR="00A42C13" w:rsidTr="004D1187">
        <w:trPr>
          <w:trHeight w:val="386"/>
        </w:trPr>
        <w:tc>
          <w:tcPr>
            <w:tcW w:w="5688" w:type="dxa"/>
            <w:vAlign w:val="center"/>
          </w:tcPr>
          <w:p w:rsidR="00A42C13" w:rsidRPr="0040568D" w:rsidRDefault="00E51A29" w:rsidP="0040568D">
            <w:pPr>
              <w:jc w:val="center"/>
              <w:rPr>
                <w:sz w:val="20"/>
                <w:szCs w:val="20"/>
              </w:rPr>
            </w:pPr>
            <w:r w:rsidRPr="0040568D">
              <w:rPr>
                <w:sz w:val="20"/>
                <w:szCs w:val="20"/>
              </w:rPr>
              <w:t>COST</w:t>
            </w:r>
          </w:p>
        </w:tc>
        <w:tc>
          <w:tcPr>
            <w:tcW w:w="1350" w:type="dxa"/>
            <w:shd w:val="clear" w:color="FFFF00" w:fill="auto"/>
            <w:vAlign w:val="center"/>
          </w:tcPr>
          <w:p w:rsidR="00A42C13" w:rsidRPr="008E4277" w:rsidRDefault="00E51A29" w:rsidP="00D7326E">
            <w:pPr>
              <w:jc w:val="center"/>
              <w:rPr>
                <w:color w:val="FF0000"/>
                <w:sz w:val="20"/>
                <w:szCs w:val="20"/>
              </w:rPr>
            </w:pPr>
            <w:r w:rsidRPr="008E4277">
              <w:rPr>
                <w:color w:val="FF0000"/>
                <w:sz w:val="20"/>
                <w:szCs w:val="20"/>
              </w:rPr>
              <w:t>S</w:t>
            </w:r>
            <w:r w:rsidR="00D7326E">
              <w:rPr>
                <w:color w:val="FF0000"/>
                <w:sz w:val="20"/>
                <w:szCs w:val="20"/>
              </w:rPr>
              <w:t>ee</w:t>
            </w:r>
            <w:r w:rsidRPr="008E4277">
              <w:rPr>
                <w:color w:val="FF0000"/>
                <w:sz w:val="20"/>
                <w:szCs w:val="20"/>
              </w:rPr>
              <w:t xml:space="preserve"> N</w:t>
            </w:r>
            <w:r w:rsidR="00D7326E">
              <w:rPr>
                <w:color w:val="FF0000"/>
                <w:sz w:val="20"/>
                <w:szCs w:val="20"/>
              </w:rPr>
              <w:t>ote</w:t>
            </w:r>
            <w:r w:rsidRPr="008E4277">
              <w:rPr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266" w:type="dxa"/>
            <w:shd w:val="pct25" w:color="FFFF00" w:fill="auto"/>
            <w:vAlign w:val="center"/>
          </w:tcPr>
          <w:p w:rsidR="00A42C13" w:rsidRPr="008E4277" w:rsidRDefault="00E51A29" w:rsidP="00D7326E">
            <w:pPr>
              <w:jc w:val="center"/>
              <w:rPr>
                <w:color w:val="0070C0"/>
              </w:rPr>
            </w:pPr>
            <w:r w:rsidRPr="008E4277">
              <w:rPr>
                <w:color w:val="0070C0"/>
                <w:sz w:val="20"/>
                <w:szCs w:val="20"/>
              </w:rPr>
              <w:t>S</w:t>
            </w:r>
            <w:r w:rsidR="00D7326E">
              <w:rPr>
                <w:color w:val="0070C0"/>
                <w:sz w:val="20"/>
                <w:szCs w:val="20"/>
              </w:rPr>
              <w:t>ee</w:t>
            </w:r>
            <w:r w:rsidRPr="008E4277">
              <w:rPr>
                <w:color w:val="0070C0"/>
                <w:sz w:val="20"/>
                <w:szCs w:val="20"/>
              </w:rPr>
              <w:t xml:space="preserve"> N</w:t>
            </w:r>
            <w:r w:rsidR="00D7326E">
              <w:rPr>
                <w:color w:val="0070C0"/>
                <w:sz w:val="20"/>
                <w:szCs w:val="20"/>
              </w:rPr>
              <w:t>ote</w:t>
            </w:r>
            <w:r w:rsidRPr="008E4277">
              <w:rPr>
                <w:color w:val="0070C0"/>
                <w:sz w:val="20"/>
                <w:szCs w:val="20"/>
              </w:rPr>
              <w:t xml:space="preserve"> 2</w:t>
            </w:r>
          </w:p>
        </w:tc>
        <w:tc>
          <w:tcPr>
            <w:tcW w:w="1254" w:type="dxa"/>
            <w:vAlign w:val="center"/>
          </w:tcPr>
          <w:p w:rsidR="00A42C13" w:rsidRPr="0040568D" w:rsidRDefault="0040568D" w:rsidP="00D7326E">
            <w:pPr>
              <w:jc w:val="center"/>
              <w:rPr>
                <w:u w:val="single"/>
              </w:rPr>
            </w:pPr>
            <w:r w:rsidRPr="0040568D">
              <w:rPr>
                <w:color w:val="00B050"/>
              </w:rPr>
              <w:t>S</w:t>
            </w:r>
            <w:r w:rsidR="00D7326E">
              <w:rPr>
                <w:color w:val="00B050"/>
              </w:rPr>
              <w:t>ee</w:t>
            </w:r>
            <w:r w:rsidR="009270AF">
              <w:rPr>
                <w:color w:val="00B050"/>
              </w:rPr>
              <w:t xml:space="preserve"> N</w:t>
            </w:r>
            <w:r w:rsidR="00D7326E">
              <w:rPr>
                <w:color w:val="00B050"/>
              </w:rPr>
              <w:t>ote</w:t>
            </w:r>
            <w:r w:rsidRPr="0040568D">
              <w:rPr>
                <w:color w:val="00B050"/>
              </w:rPr>
              <w:t xml:space="preserve"> 3</w:t>
            </w:r>
          </w:p>
        </w:tc>
      </w:tr>
    </w:tbl>
    <w:p w:rsidR="00A42C13" w:rsidRPr="003B0167" w:rsidRDefault="00A42C13" w:rsidP="00A42C13">
      <w:pPr>
        <w:rPr>
          <w:b/>
          <w:u w:val="single"/>
        </w:rPr>
      </w:pPr>
    </w:p>
    <w:p w:rsidR="00E51A29" w:rsidRPr="008E4277" w:rsidRDefault="00E51A29" w:rsidP="00F44539">
      <w:pPr>
        <w:ind w:left="630" w:hanging="630"/>
        <w:rPr>
          <w:sz w:val="18"/>
          <w:szCs w:val="18"/>
        </w:rPr>
      </w:pPr>
      <w:r w:rsidRPr="008E4277">
        <w:rPr>
          <w:sz w:val="18"/>
          <w:szCs w:val="18"/>
        </w:rPr>
        <w:t>Note 1:</w:t>
      </w:r>
      <w:r w:rsidR="00F44539">
        <w:rPr>
          <w:sz w:val="18"/>
          <w:szCs w:val="18"/>
        </w:rPr>
        <w:t xml:space="preserve">  </w:t>
      </w:r>
      <w:r w:rsidRPr="008E4277">
        <w:rPr>
          <w:sz w:val="18"/>
          <w:szCs w:val="18"/>
        </w:rPr>
        <w:t xml:space="preserve">The cost is calculated based on the annual premium to perform the PMs for the requested machines. To calculate the </w:t>
      </w:r>
      <w:r w:rsidR="00F44539">
        <w:rPr>
          <w:sz w:val="18"/>
          <w:szCs w:val="18"/>
        </w:rPr>
        <w:t xml:space="preserve">     </w:t>
      </w:r>
      <w:r w:rsidRPr="008E4277">
        <w:rPr>
          <w:sz w:val="18"/>
          <w:szCs w:val="18"/>
        </w:rPr>
        <w:t>monthly rate, we determine the total cost to perform all the PMs requested, then take a 10% discount off the total and divide that by 12 to achieve the monthly rate. This monthly rate is due on the 15</w:t>
      </w:r>
      <w:r w:rsidRPr="008E4277">
        <w:rPr>
          <w:sz w:val="18"/>
          <w:szCs w:val="18"/>
          <w:vertAlign w:val="superscript"/>
        </w:rPr>
        <w:t>th</w:t>
      </w:r>
      <w:r w:rsidRPr="008E4277">
        <w:rPr>
          <w:sz w:val="18"/>
          <w:szCs w:val="18"/>
        </w:rPr>
        <w:t xml:space="preserve"> of each month.</w:t>
      </w:r>
    </w:p>
    <w:p w:rsidR="00A7191C" w:rsidRPr="008E4277" w:rsidRDefault="00E51A29">
      <w:pPr>
        <w:rPr>
          <w:sz w:val="18"/>
          <w:szCs w:val="18"/>
        </w:rPr>
      </w:pPr>
      <w:r w:rsidRPr="008E4277">
        <w:rPr>
          <w:sz w:val="18"/>
          <w:szCs w:val="18"/>
        </w:rPr>
        <w:t xml:space="preserve">Note 2: </w:t>
      </w:r>
      <w:r w:rsidR="00F44539">
        <w:rPr>
          <w:sz w:val="18"/>
          <w:szCs w:val="18"/>
        </w:rPr>
        <w:t xml:space="preserve"> </w:t>
      </w:r>
      <w:r w:rsidR="00125AAD">
        <w:rPr>
          <w:sz w:val="18"/>
          <w:szCs w:val="18"/>
        </w:rPr>
        <w:t>The cost is</w:t>
      </w:r>
      <w:r w:rsidR="00A7191C" w:rsidRPr="008E4277">
        <w:rPr>
          <w:sz w:val="18"/>
          <w:szCs w:val="18"/>
        </w:rPr>
        <w:t xml:space="preserve"> </w:t>
      </w:r>
      <w:r w:rsidR="000F3012" w:rsidRPr="008E4277">
        <w:rPr>
          <w:sz w:val="18"/>
          <w:szCs w:val="18"/>
        </w:rPr>
        <w:t>$50/</w:t>
      </w:r>
      <w:r w:rsidRPr="008E4277">
        <w:rPr>
          <w:sz w:val="18"/>
          <w:szCs w:val="18"/>
        </w:rPr>
        <w:t>month</w:t>
      </w:r>
      <w:r w:rsidR="000F3012" w:rsidRPr="008E4277">
        <w:rPr>
          <w:sz w:val="18"/>
          <w:szCs w:val="18"/>
        </w:rPr>
        <w:t xml:space="preserve"> billed at time of sign up</w:t>
      </w:r>
      <w:r w:rsidR="00355D33">
        <w:rPr>
          <w:sz w:val="18"/>
          <w:szCs w:val="18"/>
        </w:rPr>
        <w:t>, paid</w:t>
      </w:r>
      <w:bookmarkStart w:id="0" w:name="_GoBack"/>
      <w:bookmarkEnd w:id="0"/>
      <w:r w:rsidR="000F3012" w:rsidRPr="008E4277">
        <w:rPr>
          <w:sz w:val="18"/>
          <w:szCs w:val="18"/>
        </w:rPr>
        <w:t xml:space="preserve"> through end of year and renewed annually in January</w:t>
      </w:r>
      <w:r w:rsidR="00125AAD">
        <w:rPr>
          <w:sz w:val="18"/>
          <w:szCs w:val="18"/>
        </w:rPr>
        <w:t xml:space="preserve"> thereafter</w:t>
      </w:r>
      <w:r w:rsidR="000F3012" w:rsidRPr="008E4277">
        <w:rPr>
          <w:sz w:val="18"/>
          <w:szCs w:val="18"/>
        </w:rPr>
        <w:t>.</w:t>
      </w:r>
    </w:p>
    <w:p w:rsidR="00087004" w:rsidRPr="008E4277" w:rsidRDefault="00E57FB6" w:rsidP="00F44539">
      <w:pPr>
        <w:ind w:left="630" w:hanging="630"/>
        <w:rPr>
          <w:sz w:val="18"/>
          <w:szCs w:val="18"/>
        </w:rPr>
      </w:pPr>
      <w:r w:rsidRPr="008E4277">
        <w:rPr>
          <w:sz w:val="18"/>
          <w:szCs w:val="18"/>
        </w:rPr>
        <w:t xml:space="preserve">Note 3: </w:t>
      </w:r>
      <w:r w:rsidR="00F44539">
        <w:rPr>
          <w:sz w:val="18"/>
          <w:szCs w:val="18"/>
        </w:rPr>
        <w:t xml:space="preserve"> </w:t>
      </w:r>
      <w:r w:rsidRPr="008E4277">
        <w:rPr>
          <w:sz w:val="18"/>
          <w:szCs w:val="18"/>
        </w:rPr>
        <w:t>Customers will still be able to contact us for technic</w:t>
      </w:r>
      <w:r w:rsidR="00C52987" w:rsidRPr="008E4277">
        <w:rPr>
          <w:sz w:val="18"/>
          <w:szCs w:val="18"/>
        </w:rPr>
        <w:t xml:space="preserve">al support via phone and email, but </w:t>
      </w:r>
      <w:r w:rsidR="00F44539">
        <w:rPr>
          <w:sz w:val="18"/>
          <w:szCs w:val="18"/>
        </w:rPr>
        <w:t>their requests will be</w:t>
      </w:r>
      <w:r w:rsidR="00C52987" w:rsidRPr="008E4277">
        <w:rPr>
          <w:sz w:val="18"/>
          <w:szCs w:val="18"/>
        </w:rPr>
        <w:t xml:space="preserve"> proce</w:t>
      </w:r>
      <w:r w:rsidR="00F44539">
        <w:rPr>
          <w:sz w:val="18"/>
          <w:szCs w:val="18"/>
        </w:rPr>
        <w:t xml:space="preserve">ssed after all the requests from </w:t>
      </w:r>
      <w:r w:rsidR="00F44539" w:rsidRPr="00F44539">
        <w:rPr>
          <w:b/>
          <w:color w:val="FF0000"/>
          <w:sz w:val="18"/>
          <w:szCs w:val="18"/>
        </w:rPr>
        <w:t>PM</w:t>
      </w:r>
      <w:r w:rsidR="00F44539">
        <w:rPr>
          <w:sz w:val="18"/>
          <w:szCs w:val="18"/>
        </w:rPr>
        <w:t xml:space="preserve"> and </w:t>
      </w:r>
      <w:r w:rsidR="00F44539" w:rsidRPr="00F44539">
        <w:rPr>
          <w:b/>
          <w:color w:val="0070C0"/>
          <w:sz w:val="18"/>
          <w:szCs w:val="18"/>
        </w:rPr>
        <w:t>TSP</w:t>
      </w:r>
      <w:r w:rsidR="00F44539" w:rsidRPr="00F44539">
        <w:rPr>
          <w:color w:val="0070C0"/>
          <w:sz w:val="18"/>
          <w:szCs w:val="18"/>
        </w:rPr>
        <w:t xml:space="preserve"> </w:t>
      </w:r>
      <w:r w:rsidR="00C52987" w:rsidRPr="008E4277">
        <w:rPr>
          <w:sz w:val="18"/>
          <w:szCs w:val="18"/>
        </w:rPr>
        <w:t>customers have been processed. Also, there will be a charge of $50/hr for any service requests that requires at least ½ hour of time to process.</w:t>
      </w:r>
    </w:p>
    <w:sectPr w:rsidR="00087004" w:rsidRPr="008E4277" w:rsidSect="00A07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7004"/>
    <w:rsid w:val="00084A88"/>
    <w:rsid w:val="00087004"/>
    <w:rsid w:val="000F3012"/>
    <w:rsid w:val="00125AAD"/>
    <w:rsid w:val="001774BE"/>
    <w:rsid w:val="00215428"/>
    <w:rsid w:val="002F3585"/>
    <w:rsid w:val="00355D33"/>
    <w:rsid w:val="003872FB"/>
    <w:rsid w:val="003A7D5E"/>
    <w:rsid w:val="003B0167"/>
    <w:rsid w:val="0040568D"/>
    <w:rsid w:val="0042154F"/>
    <w:rsid w:val="004B27CE"/>
    <w:rsid w:val="004C274A"/>
    <w:rsid w:val="004D1187"/>
    <w:rsid w:val="00503059"/>
    <w:rsid w:val="005A732C"/>
    <w:rsid w:val="006265BF"/>
    <w:rsid w:val="006853E9"/>
    <w:rsid w:val="007847A9"/>
    <w:rsid w:val="007A2533"/>
    <w:rsid w:val="008526F6"/>
    <w:rsid w:val="008C1BD7"/>
    <w:rsid w:val="008C3421"/>
    <w:rsid w:val="008E4277"/>
    <w:rsid w:val="009270AF"/>
    <w:rsid w:val="0095641D"/>
    <w:rsid w:val="00A075D5"/>
    <w:rsid w:val="00A42C13"/>
    <w:rsid w:val="00A7191C"/>
    <w:rsid w:val="00A86F0E"/>
    <w:rsid w:val="00BE512D"/>
    <w:rsid w:val="00C52987"/>
    <w:rsid w:val="00C80C0D"/>
    <w:rsid w:val="00C9763B"/>
    <w:rsid w:val="00CB7FC4"/>
    <w:rsid w:val="00D7326E"/>
    <w:rsid w:val="00DB4C09"/>
    <w:rsid w:val="00E0308D"/>
    <w:rsid w:val="00E51A29"/>
    <w:rsid w:val="00E57FB6"/>
    <w:rsid w:val="00F44539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Lootens</dc:creator>
  <cp:lastModifiedBy>KL</cp:lastModifiedBy>
  <cp:revision>29</cp:revision>
  <dcterms:created xsi:type="dcterms:W3CDTF">2012-05-08T16:41:00Z</dcterms:created>
  <dcterms:modified xsi:type="dcterms:W3CDTF">2012-06-06T20:31:00Z</dcterms:modified>
</cp:coreProperties>
</file>